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D9D9D9"/>
          <w:bottom w:val="single" w:sz="4" w:space="0" w:color="D9D9D9"/>
          <w:insideH w:val="single" w:sz="6" w:space="0" w:color="D9D9D9"/>
          <w:insideV w:val="single" w:sz="6" w:space="0" w:color="D9D9D9"/>
        </w:tblBorders>
        <w:tblCellMar>
          <w:top w:w="21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</w:tblGrid>
      <w:tr w:rsidR="005C01FD" w:rsidTr="004669CD">
        <w:trPr>
          <w:trHeight w:val="1117"/>
        </w:trPr>
        <w:tc>
          <w:tcPr>
            <w:tcW w:w="9360" w:type="dxa"/>
            <w:tcBorders>
              <w:top w:val="nil"/>
              <w:bottom w:val="single" w:sz="6" w:space="0" w:color="D9D9D9"/>
            </w:tcBorders>
            <w:vAlign w:val="center"/>
          </w:tcPr>
          <w:p w:rsidR="005C01FD" w:rsidRDefault="005C01FD" w:rsidP="004669CD">
            <w:pPr>
              <w:rPr>
                <w:lang w:eastAsia="zh-CN"/>
              </w:rPr>
            </w:pPr>
            <w:r>
              <w:rPr>
                <w:lang w:eastAsia="zh-CN"/>
              </w:rPr>
              <w:t>高压液相色谱分析DRUGA</w:t>
            </w:r>
            <w:r>
              <w:rPr>
                <w:rStyle w:val="IntenseReference1"/>
                <w:lang w:eastAsia="zh-CN"/>
              </w:rPr>
              <w:t xml:space="preserve">  </w:t>
            </w:r>
          </w:p>
        </w:tc>
      </w:tr>
      <w:tr w:rsidR="005C01FD" w:rsidTr="004669CD">
        <w:tc>
          <w:tcPr>
            <w:tcW w:w="9360" w:type="dxa"/>
            <w:tcBorders>
              <w:top w:val="single" w:sz="6" w:space="0" w:color="D9D9D9"/>
            </w:tcBorders>
            <w:vAlign w:val="center"/>
          </w:tcPr>
          <w:p w:rsidR="005C01FD" w:rsidRDefault="005C01FD" w:rsidP="004669CD">
            <w:r>
              <w:rPr>
                <w:rFonts w:cs="Arial"/>
                <w:sz w:val="28"/>
                <w:szCs w:val="28"/>
              </w:rPr>
              <w:t>To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>:</w:t>
            </w:r>
            <w:r>
              <w:rPr>
                <w:rFonts w:cs="Arial"/>
                <w:sz w:val="28"/>
                <w:szCs w:val="28"/>
              </w:rPr>
              <w:tab/>
            </w:r>
            <w:proofErr w:type="spellStart"/>
            <w:r>
              <w:t>梁洪鲲</w:t>
            </w:r>
            <w:proofErr w:type="spellEnd"/>
          </w:p>
        </w:tc>
      </w:tr>
      <w:tr w:rsidR="005C01FD" w:rsidTr="004669CD">
        <w:trPr>
          <w:trHeight w:val="156"/>
        </w:trPr>
        <w:tc>
          <w:tcPr>
            <w:tcW w:w="9360" w:type="dxa"/>
            <w:vAlign w:val="center"/>
          </w:tcPr>
          <w:p w:rsidR="005C01FD" w:rsidRDefault="005C01FD" w:rsidP="004669CD">
            <w:pPr>
              <w:tabs>
                <w:tab w:val="left" w:pos="2133"/>
                <w:tab w:val="left" w:pos="2860"/>
              </w:tabs>
            </w:pPr>
            <w:r>
              <w:rPr>
                <w:rFonts w:cs="Arial"/>
                <w:sz w:val="28"/>
                <w:szCs w:val="28"/>
              </w:rPr>
              <w:t>Client Name</w:t>
            </w:r>
            <w:r>
              <w:rPr>
                <w:rFonts w:cs="Arial"/>
                <w:sz w:val="28"/>
                <w:szCs w:val="28"/>
              </w:rPr>
              <w:tab/>
              <w:t>:</w:t>
            </w:r>
            <w:r>
              <w:rPr>
                <w:rFonts w:cs="Arial"/>
                <w:sz w:val="28"/>
                <w:szCs w:val="28"/>
              </w:rPr>
              <w:tab/>
              <w:t xml:space="preserve"> </w:t>
            </w:r>
          </w:p>
          <w:p w:rsidR="005C01FD" w:rsidRDefault="005C01FD" w:rsidP="004669CD">
            <w:pPr>
              <w:tabs>
                <w:tab w:val="left" w:pos="2200"/>
                <w:tab w:val="left" w:pos="2860"/>
              </w:tabs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&amp; Address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</w:p>
          <w:p w:rsidR="005C01FD" w:rsidRDefault="005C01FD" w:rsidP="005C01FD">
            <w:pPr>
              <w:tabs>
                <w:tab w:val="left" w:pos="2200"/>
                <w:tab w:val="left" w:pos="2860"/>
              </w:tabs>
            </w:pP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bookmarkStart w:id="0" w:name="_GoBack"/>
            <w:bookmarkEnd w:id="0"/>
          </w:p>
        </w:tc>
      </w:tr>
      <w:tr w:rsidR="005C01FD" w:rsidTr="004669CD">
        <w:tc>
          <w:tcPr>
            <w:tcW w:w="9360" w:type="dxa"/>
            <w:vAlign w:val="center"/>
          </w:tcPr>
          <w:p w:rsidR="005C01FD" w:rsidRDefault="005C01FD" w:rsidP="004669CD">
            <w:pPr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Phone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>:</w:t>
            </w:r>
            <w:r>
              <w:rPr>
                <w:rFonts w:cs="Arial"/>
                <w:sz w:val="28"/>
                <w:szCs w:val="28"/>
              </w:rPr>
              <w:tab/>
            </w:r>
          </w:p>
        </w:tc>
      </w:tr>
      <w:tr w:rsidR="005C01FD" w:rsidTr="004669CD">
        <w:tc>
          <w:tcPr>
            <w:tcW w:w="9360" w:type="dxa"/>
            <w:vAlign w:val="center"/>
          </w:tcPr>
          <w:p w:rsidR="005C01FD" w:rsidRDefault="005C01FD" w:rsidP="004669CD">
            <w:pPr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Email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>:</w:t>
            </w:r>
            <w:r>
              <w:rPr>
                <w:rFonts w:cs="Arial"/>
                <w:sz w:val="28"/>
                <w:szCs w:val="28"/>
              </w:rPr>
              <w:tab/>
              <w:t>hongkun.liang@qps.com</w:t>
            </w:r>
          </w:p>
        </w:tc>
      </w:tr>
      <w:tr w:rsidR="005C01FD" w:rsidTr="004669CD">
        <w:tc>
          <w:tcPr>
            <w:tcW w:w="9360" w:type="dxa"/>
            <w:vAlign w:val="center"/>
          </w:tcPr>
          <w:p w:rsidR="005C01FD" w:rsidRDefault="005C01FD" w:rsidP="004669CD">
            <w:r>
              <w:rPr>
                <w:rFonts w:cs="Arial"/>
                <w:sz w:val="28"/>
                <w:szCs w:val="28"/>
              </w:rPr>
              <w:t>QPS Dept. Head</w:t>
            </w:r>
            <w:r>
              <w:rPr>
                <w:rFonts w:cs="Arial"/>
                <w:sz w:val="28"/>
                <w:szCs w:val="28"/>
              </w:rPr>
              <w:tab/>
              <w:t>:</w:t>
            </w:r>
            <w:r>
              <w:rPr>
                <w:rFonts w:cs="Arial"/>
                <w:sz w:val="28"/>
                <w:szCs w:val="28"/>
              </w:rPr>
              <w:tab/>
            </w:r>
            <w:r>
              <w:t>朱永东</w:t>
            </w:r>
          </w:p>
        </w:tc>
      </w:tr>
      <w:tr w:rsidR="005C01FD" w:rsidTr="004669CD">
        <w:tc>
          <w:tcPr>
            <w:tcW w:w="9360" w:type="dxa"/>
            <w:vAlign w:val="center"/>
          </w:tcPr>
          <w:p w:rsidR="005C01FD" w:rsidRDefault="005C01FD" w:rsidP="004669CD">
            <w:pPr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QPS BD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>:</w:t>
            </w:r>
            <w:r>
              <w:rPr>
                <w:rFonts w:cs="Arial"/>
                <w:sz w:val="28"/>
                <w:szCs w:val="28"/>
              </w:rPr>
              <w:tab/>
            </w:r>
          </w:p>
        </w:tc>
      </w:tr>
      <w:tr w:rsidR="005C01FD" w:rsidTr="004669CD">
        <w:tc>
          <w:tcPr>
            <w:tcW w:w="9360" w:type="dxa"/>
            <w:vAlign w:val="center"/>
          </w:tcPr>
          <w:p w:rsidR="005C01FD" w:rsidRDefault="005C01FD" w:rsidP="004669CD">
            <w:pPr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Date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>:</w:t>
            </w:r>
            <w:r>
              <w:rPr>
                <w:rFonts w:cs="Arial"/>
                <w:sz w:val="28"/>
                <w:szCs w:val="28"/>
              </w:rPr>
              <w:tab/>
              <w:t>July 16, 2018</w:t>
            </w:r>
          </w:p>
        </w:tc>
      </w:tr>
      <w:tr w:rsidR="005C01FD" w:rsidTr="004669CD">
        <w:tc>
          <w:tcPr>
            <w:tcW w:w="9360" w:type="dxa"/>
            <w:vAlign w:val="center"/>
          </w:tcPr>
          <w:p w:rsidR="005C01FD" w:rsidRDefault="005C01FD" w:rsidP="004669CD">
            <w:pPr>
              <w:spacing w:after="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QPS Proposal No</w:t>
            </w:r>
            <w:r>
              <w:rPr>
                <w:rFonts w:cs="Arial"/>
                <w:sz w:val="28"/>
                <w:szCs w:val="28"/>
              </w:rPr>
              <w:tab/>
              <w:t>:</w:t>
            </w:r>
            <w:r>
              <w:rPr>
                <w:rFonts w:cs="Arial"/>
                <w:sz w:val="28"/>
                <w:szCs w:val="28"/>
              </w:rPr>
              <w:tab/>
              <w:t>42GBA18006</w:t>
            </w:r>
          </w:p>
        </w:tc>
      </w:tr>
    </w:tbl>
    <w:p w:rsidR="005C01FD" w:rsidRDefault="005C01FD" w:rsidP="005C01FD">
      <w:pPr>
        <w:spacing w:after="60"/>
        <w:rPr>
          <w:rFonts w:cs="Arial"/>
          <w:b/>
          <w:szCs w:val="24"/>
        </w:rPr>
      </w:pPr>
    </w:p>
    <w:p w:rsidR="005C01FD" w:rsidRDefault="005C01FD" w:rsidP="005C01FD">
      <w:pPr>
        <w:spacing w:after="60"/>
        <w:rPr>
          <w:rFonts w:cs="Arial"/>
          <w:b/>
          <w:szCs w:val="24"/>
        </w:rPr>
      </w:pPr>
    </w:p>
    <w:p w:rsidR="005C01FD" w:rsidRDefault="005C01FD" w:rsidP="005C01FD">
      <w:pPr>
        <w:spacing w:after="60"/>
        <w:rPr>
          <w:rFonts w:cs="Arial"/>
          <w:b/>
          <w:szCs w:val="24"/>
        </w:rPr>
      </w:pPr>
    </w:p>
    <w:p w:rsidR="005C01FD" w:rsidRDefault="005C01FD" w:rsidP="005C01FD">
      <w:pPr>
        <w:spacing w:after="60"/>
      </w:pPr>
      <w:r>
        <w:br w:type="page"/>
      </w:r>
    </w:p>
    <w:p w:rsidR="005C01FD" w:rsidRDefault="005C01FD" w:rsidP="005C01FD">
      <w:r>
        <w:rPr>
          <w:rFonts w:cs="Arial"/>
          <w:szCs w:val="24"/>
        </w:rPr>
        <w:lastRenderedPageBreak/>
        <w:t xml:space="preserve">Dear </w:t>
      </w:r>
      <w:proofErr w:type="spellStart"/>
      <w:r>
        <w:t>洪鲲</w:t>
      </w:r>
      <w:proofErr w:type="spellEnd"/>
      <w:r>
        <w:rPr>
          <w:rFonts w:cs="Arial"/>
          <w:szCs w:val="24"/>
        </w:rPr>
        <w:t>,</w:t>
      </w:r>
    </w:p>
    <w:p w:rsidR="005C01FD" w:rsidRDefault="005C01FD" w:rsidP="005C01FD">
      <w:pPr>
        <w:spacing w:after="60"/>
        <w:rPr>
          <w:rFonts w:cs="Arial"/>
          <w:szCs w:val="24"/>
        </w:rPr>
      </w:pPr>
    </w:p>
    <w:p w:rsidR="005C01FD" w:rsidRDefault="005C01FD" w:rsidP="005C01FD">
      <w:bookmarkStart w:id="1" w:name="_Toc401071841"/>
      <w:r>
        <w:rPr>
          <w:rFonts w:cs="Arial"/>
          <w:szCs w:val="24"/>
        </w:rPr>
        <w:t xml:space="preserve">QPS is pleased to submit the following proposal for </w:t>
      </w:r>
      <w:proofErr w:type="spellStart"/>
      <w:r>
        <w:t>高压液相色谱分析DRUGA</w:t>
      </w:r>
      <w:proofErr w:type="spellEnd"/>
      <w:r>
        <w:rPr>
          <w:rFonts w:cs="Arial"/>
          <w:szCs w:val="24"/>
        </w:rPr>
        <w:t xml:space="preserve">. QPS will conduct this study in </w:t>
      </w:r>
      <w:proofErr w:type="gramStart"/>
      <w:r>
        <w:rPr>
          <w:rFonts w:cs="Arial"/>
          <w:szCs w:val="24"/>
        </w:rPr>
        <w:t>our  laboratory</w:t>
      </w:r>
      <w:proofErr w:type="gramEnd"/>
      <w:r>
        <w:rPr>
          <w:rFonts w:cs="Arial"/>
          <w:szCs w:val="24"/>
        </w:rPr>
        <w:t xml:space="preserve"> and anticipates receiving samples in  . </w:t>
      </w:r>
    </w:p>
    <w:p w:rsidR="005C01FD" w:rsidRDefault="005C01FD" w:rsidP="005C01FD">
      <w:pPr>
        <w:tabs>
          <w:tab w:val="left" w:pos="8190"/>
        </w:tabs>
        <w:spacing w:line="312" w:lineRule="auto"/>
        <w:jc w:val="both"/>
        <w:rPr>
          <w:rFonts w:cs="Arial"/>
          <w:b/>
          <w:color w:val="800080"/>
          <w:sz w:val="20"/>
          <w:szCs w:val="20"/>
        </w:rPr>
      </w:pPr>
      <w:r>
        <w:rPr>
          <w:rFonts w:cs="Arial"/>
          <w:szCs w:val="24"/>
        </w:rPr>
        <w:t xml:space="preserve">Upon execution, this </w:t>
      </w:r>
      <w:proofErr w:type="spellStart"/>
      <w:r>
        <w:rPr>
          <w:rFonts w:cs="Arial"/>
          <w:szCs w:val="24"/>
        </w:rPr>
        <w:t>bioanalytical</w:t>
      </w:r>
      <w:proofErr w:type="spellEnd"/>
      <w:r>
        <w:rPr>
          <w:rFonts w:cs="Arial"/>
          <w:szCs w:val="24"/>
        </w:rPr>
        <w:t xml:space="preserve"> proposal shall stand as an Exhibit/Addendum </w:t>
      </w:r>
    </w:p>
    <w:p w:rsidR="005C01FD" w:rsidRDefault="005C01FD" w:rsidP="005C01FD">
      <w:pPr>
        <w:pStyle w:val="Heading1"/>
      </w:pPr>
      <w:r>
        <w:t>Specification of Costs</w:t>
      </w:r>
      <w:bookmarkEnd w:id="1"/>
    </w:p>
    <w:p w:rsidR="005C01FD" w:rsidRDefault="005C01FD" w:rsidP="005C01FD">
      <w:pPr>
        <w:autoSpaceDE w:val="0"/>
        <w:autoSpaceDN w:val="0"/>
        <w:adjustRightInd w:val="0"/>
      </w:pPr>
    </w:p>
    <w:tbl>
      <w:tblPr>
        <w:tblStyle w:val="TableGrid"/>
        <w:tblW w:w="0" w:type="auto"/>
        <w:jc w:val="center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0"/>
        <w:gridCol w:w="9780"/>
      </w:tblGrid>
      <w:tr w:rsidR="005C01FD" w:rsidTr="004669CD">
        <w:trPr>
          <w:jc w:val="center"/>
        </w:trPr>
        <w:tc>
          <w:tcPr>
            <w:tcW w:w="200" w:type="dxa"/>
          </w:tcPr>
          <w:p w:rsidR="005C01FD" w:rsidRDefault="005C01FD" w:rsidP="004669CD">
            <w:pPr>
              <w:spacing w:line="180" w:lineRule="atLeast"/>
              <w:jc w:val="center"/>
            </w:pPr>
            <w:r>
              <w:rPr>
                <w:rFonts w:cs="Calibri"/>
                <w:sz w:val="18"/>
              </w:rPr>
              <w:t>1</w:t>
            </w:r>
          </w:p>
        </w:tc>
        <w:tc>
          <w:tcPr>
            <w:tcW w:w="9780" w:type="dxa"/>
          </w:tcPr>
          <w:tbl>
            <w:tblPr>
              <w:tblW w:w="9750" w:type="dxa"/>
              <w:jc w:val="center"/>
              <w:tblBorders>
                <w:insideH w:val="nil"/>
                <w:insideV w:val="nil"/>
              </w:tblBorders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426"/>
              <w:gridCol w:w="1196"/>
              <w:gridCol w:w="920"/>
              <w:gridCol w:w="1012"/>
              <w:gridCol w:w="1196"/>
            </w:tblGrid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shd w:val="clear" w:color="auto" w:fill="A9A9A9"/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jc w:val="center"/>
                    <w:rPr>
                      <w:rFonts w:cs="Calibri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sz w:val="28"/>
                    </w:rPr>
                    <w:t>项目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shd w:val="clear" w:color="auto" w:fill="A9A9A9"/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jc w:val="center"/>
                    <w:rPr>
                      <w:rFonts w:cs="Calibri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sz w:val="28"/>
                    </w:rPr>
                    <w:t>数量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shd w:val="clear" w:color="auto" w:fill="A9A9A9"/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jc w:val="center"/>
                    <w:rPr>
                      <w:rFonts w:cs="Calibri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sz w:val="28"/>
                    </w:rPr>
                    <w:t>单价</w:t>
                  </w:r>
                  <w:proofErr w:type="spellEnd"/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shd w:val="clear" w:color="auto" w:fill="A9A9A9"/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jc w:val="center"/>
                    <w:rPr>
                      <w:rFonts w:cs="Calibri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sz w:val="28"/>
                    </w:rPr>
                    <w:t>费用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shd w:val="clear" w:color="auto" w:fill="A9A9A9"/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jc w:val="center"/>
                    <w:rPr>
                      <w:rFonts w:cs="Calibri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sz w:val="28"/>
                    </w:rPr>
                    <w:t>总费用</w:t>
                  </w:r>
                  <w:proofErr w:type="spellEnd"/>
                </w:p>
              </w:tc>
            </w:tr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 xml:space="preserve">LC-MS/MS分析17-desacetyl </w:t>
                  </w:r>
                  <w:proofErr w:type="spellStart"/>
                  <w:r>
                    <w:rPr>
                      <w:rFonts w:cs="Calibri"/>
                      <w:sz w:val="28"/>
                    </w:rPr>
                    <w:t>norgestimate在人体血浆的浓度应用科碧士方法</w:t>
                  </w:r>
                  <w:proofErr w:type="spellEnd"/>
                  <w:r>
                    <w:rPr>
                      <w:rFonts w:cs="Calibri"/>
                      <w:sz w:val="28"/>
                    </w:rPr>
                    <w:t xml:space="preserve"> 42-0728.</w:t>
                  </w:r>
                  <w:r>
                    <w:br/>
                  </w:r>
                  <w:proofErr w:type="spellStart"/>
                  <w:r>
                    <w:rPr>
                      <w:rFonts w:cs="Calibri"/>
                      <w:sz w:val="28"/>
                    </w:rPr>
                    <w:t>最小批样</w:t>
                  </w:r>
                  <w:proofErr w:type="spellEnd"/>
                  <w:r>
                    <w:rPr>
                      <w:rFonts w:cs="Calibri"/>
                      <w:sz w:val="28"/>
                    </w:rPr>
                    <w:t>: 70个样品</w:t>
                  </w: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jc w:val="right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$32650</w:t>
                  </w:r>
                </w:p>
              </w:tc>
            </w:tr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  <w:lang w:eastAsia="zh-CN"/>
                    </w:rPr>
                  </w:pPr>
                  <w:r>
                    <w:rPr>
                      <w:rFonts w:cs="Calibri"/>
                      <w:sz w:val="28"/>
                      <w:lang w:eastAsia="zh-CN"/>
                    </w:rPr>
                    <w:t>分析数据提交时间: 收到样品3 Weeks之后¥65/样品</w:t>
                  </w:r>
                  <w:r>
                    <w:rPr>
                      <w:lang w:eastAsia="zh-CN"/>
                    </w:rPr>
                    <w:br/>
                  </w:r>
                  <w:r>
                    <w:rPr>
                      <w:rFonts w:cs="Calibri"/>
                      <w:sz w:val="28"/>
                      <w:lang w:eastAsia="zh-CN"/>
                    </w:rPr>
                    <w:t>10人体样本 x 10采样点=100样本品;</w:t>
                  </w:r>
                </w:p>
              </w:tc>
              <w:tc>
                <w:tcPr>
                  <w:tcW w:w="119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¥65</w:t>
                  </w:r>
                </w:p>
              </w:tc>
              <w:tc>
                <w:tcPr>
                  <w:tcW w:w="1012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¥6500</w:t>
                  </w:r>
                </w:p>
              </w:tc>
              <w:tc>
                <w:tcPr>
                  <w:tcW w:w="119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</w:tr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  <w:lang w:eastAsia="zh-CN"/>
                    </w:rPr>
                  </w:pPr>
                  <w:r>
                    <w:rPr>
                      <w:rFonts w:cs="Calibri"/>
                      <w:sz w:val="28"/>
                      <w:lang w:eastAsia="zh-CN"/>
                    </w:rPr>
                    <w:t>分析数据提交时间: 收到样品2 Days后提供数据¥100/样品。</w:t>
                  </w:r>
                  <w:r>
                    <w:rPr>
                      <w:lang w:eastAsia="zh-CN"/>
                    </w:rPr>
                    <w:br/>
                  </w:r>
                  <w:r>
                    <w:rPr>
                      <w:rFonts w:cs="Calibri"/>
                      <w:sz w:val="28"/>
                      <w:lang w:eastAsia="zh-CN"/>
                    </w:rPr>
                    <w:t>10人体样本 x 10采样点=100样本品;</w:t>
                  </w: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¥100</w:t>
                  </w: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¥10000</w:t>
                  </w:r>
                </w:p>
              </w:tc>
              <w:tc>
                <w:tcPr>
                  <w:tcW w:w="119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</w:tr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  <w:lang w:eastAsia="zh-CN"/>
                    </w:rPr>
                  </w:pPr>
                  <w:r>
                    <w:rPr>
                      <w:rFonts w:cs="Calibri"/>
                      <w:sz w:val="28"/>
                      <w:lang w:eastAsia="zh-CN"/>
                    </w:rPr>
                    <w:t>再分析样品 =10% 样本总数 = 40 样本</w:t>
                  </w:r>
                  <w:r>
                    <w:rPr>
                      <w:lang w:eastAsia="zh-CN"/>
                    </w:rPr>
                    <w:br/>
                  </w:r>
                  <w:r>
                    <w:rPr>
                      <w:rFonts w:cs="Calibri"/>
                      <w:sz w:val="28"/>
                      <w:lang w:eastAsia="zh-CN"/>
                    </w:rPr>
                    <w:t>再分析最小样品： 40</w:t>
                  </w: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40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¥65</w:t>
                  </w: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¥2600</w:t>
                  </w:r>
                </w:p>
              </w:tc>
              <w:tc>
                <w:tcPr>
                  <w:tcW w:w="119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</w:tr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  <w:lang w:eastAsia="zh-CN"/>
                    </w:rPr>
                  </w:pPr>
                  <w:r>
                    <w:rPr>
                      <w:rFonts w:cs="Calibri"/>
                      <w:sz w:val="28"/>
                      <w:lang w:eastAsia="zh-CN"/>
                    </w:rPr>
                    <w:t>试验样品再分析 =10%样品总数 = 40样品</w:t>
                  </w:r>
                  <w:r>
                    <w:rPr>
                      <w:lang w:eastAsia="zh-CN"/>
                    </w:rPr>
                    <w:br/>
                  </w:r>
                  <w:r>
                    <w:rPr>
                      <w:rFonts w:cs="Calibri"/>
                      <w:sz w:val="28"/>
                      <w:lang w:eastAsia="zh-CN"/>
                    </w:rPr>
                    <w:t>试验样品再分析最少样品: 40</w:t>
                  </w: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40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¥65</w:t>
                  </w: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¥2600</w:t>
                  </w:r>
                </w:p>
              </w:tc>
              <w:tc>
                <w:tcPr>
                  <w:tcW w:w="119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</w:tr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cs="Calibri"/>
                      <w:sz w:val="28"/>
                    </w:rPr>
                    <w:t>数据管理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¥500</w:t>
                  </w: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¥500</w:t>
                  </w:r>
                </w:p>
              </w:tc>
              <w:tc>
                <w:tcPr>
                  <w:tcW w:w="119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jc w:val="right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</w:tr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cs="Calibri"/>
                      <w:sz w:val="28"/>
                    </w:rPr>
                    <w:t>数据传送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¥250</w:t>
                  </w: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¥250</w:t>
                  </w:r>
                </w:p>
              </w:tc>
              <w:tc>
                <w:tcPr>
                  <w:tcW w:w="119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</w:tr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cs="Calibri"/>
                      <w:sz w:val="28"/>
                    </w:rPr>
                    <w:t>分析报告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¥2500</w:t>
                  </w: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$2500</w:t>
                  </w:r>
                </w:p>
              </w:tc>
              <w:tc>
                <w:tcPr>
                  <w:tcW w:w="119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jc w:val="right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</w:tr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cs="Calibri"/>
                      <w:sz w:val="28"/>
                    </w:rPr>
                    <w:t>干扰实验</w:t>
                  </w:r>
                  <w:proofErr w:type="spellEnd"/>
                  <w:r>
                    <w:rPr>
                      <w:rFonts w:cs="Calibri"/>
                      <w:sz w:val="28"/>
                    </w:rPr>
                    <w:t>: drug B</w:t>
                  </w:r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1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¥1000</w:t>
                  </w: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¥1000</w:t>
                  </w:r>
                </w:p>
              </w:tc>
              <w:tc>
                <w:tcPr>
                  <w:tcW w:w="119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jc w:val="right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</w:tr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cs="Calibri"/>
                      <w:sz w:val="28"/>
                    </w:rPr>
                    <w:t>运输试验样品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2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$¥500</w:t>
                  </w: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rPr>
                      <w:rFonts w:cs="Calibri"/>
                      <w:sz w:val="28"/>
                    </w:rPr>
                    <w:t>¥1000</w:t>
                  </w:r>
                </w:p>
              </w:tc>
              <w:tc>
                <w:tcPr>
                  <w:tcW w:w="119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jc w:val="right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</w:tr>
            <w:tr w:rsidR="005C01FD" w:rsidTr="004669CD">
              <w:trPr>
                <w:jc w:val="center"/>
              </w:trPr>
              <w:tc>
                <w:tcPr>
                  <w:tcW w:w="542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rFonts w:cs="Calibri"/>
                      <w:sz w:val="28"/>
                    </w:rPr>
                    <w:t>转接费用</w:t>
                  </w:r>
                  <w:proofErr w:type="spellEnd"/>
                  <w:r>
                    <w:rPr>
                      <w:rFonts w:cs="Calibri"/>
                      <w:sz w:val="28"/>
                    </w:rPr>
                    <w:t>:</w:t>
                  </w:r>
                  <w:r>
                    <w:br/>
                  </w:r>
                  <w:r>
                    <w:rPr>
                      <w:rFonts w:cs="Calibri"/>
                      <w:sz w:val="28"/>
                    </w:rPr>
                    <w:t xml:space="preserve">-- </w:t>
                  </w:r>
                  <w:proofErr w:type="spellStart"/>
                  <w:r>
                    <w:rPr>
                      <w:rFonts w:cs="Calibri"/>
                      <w:sz w:val="28"/>
                    </w:rPr>
                    <w:t>色谱柱</w:t>
                  </w:r>
                  <w:proofErr w:type="spellEnd"/>
                  <w:r>
                    <w:br/>
                  </w:r>
                  <w:r>
                    <w:rPr>
                      <w:rFonts w:cs="Calibri"/>
                      <w:sz w:val="28"/>
                    </w:rPr>
                    <w:t xml:space="preserve">-- </w:t>
                  </w:r>
                  <w:proofErr w:type="spellStart"/>
                  <w:r>
                    <w:rPr>
                      <w:rFonts w:cs="Calibri"/>
                      <w:sz w:val="28"/>
                    </w:rPr>
                    <w:t>血浆</w:t>
                  </w:r>
                  <w:proofErr w:type="spellEnd"/>
                </w:p>
              </w:tc>
              <w:tc>
                <w:tcPr>
                  <w:tcW w:w="1196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br/>
                  </w:r>
                  <w:r>
                    <w:rPr>
                      <w:rFonts w:cs="Calibri"/>
                      <w:sz w:val="28"/>
                    </w:rPr>
                    <w:t>1</w:t>
                  </w:r>
                  <w:r>
                    <w:br/>
                  </w:r>
                  <w:r>
                    <w:rPr>
                      <w:rFonts w:cs="Calibri"/>
                      <w:sz w:val="28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br/>
                  </w:r>
                  <w:r>
                    <w:rPr>
                      <w:rFonts w:cs="Calibri"/>
                      <w:sz w:val="28"/>
                    </w:rPr>
                    <w:t>¥700</w:t>
                  </w:r>
                  <w:r>
                    <w:br/>
                  </w:r>
                  <w:r>
                    <w:rPr>
                      <w:rFonts w:cs="Calibri"/>
                      <w:sz w:val="28"/>
                    </w:rPr>
                    <w:t>¥50</w:t>
                  </w:r>
                </w:p>
              </w:tc>
              <w:tc>
                <w:tcPr>
                  <w:tcW w:w="1012" w:type="dxa"/>
                  <w:tcBorders>
                    <w:top w:val="single" w:sz="6" w:space="0" w:color="auto"/>
                    <w:left w:val="none" w:sz="6" w:space="0" w:color="auto"/>
                    <w:bottom w:val="none" w:sz="6" w:space="0" w:color="auto"/>
                    <w:right w:val="singl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rPr>
                      <w:rFonts w:cs="Calibri"/>
                      <w:b/>
                      <w:bCs/>
                      <w:sz w:val="28"/>
                    </w:rPr>
                  </w:pPr>
                  <w:r>
                    <w:br/>
                  </w:r>
                  <w:r>
                    <w:rPr>
                      <w:rFonts w:cs="Calibri"/>
                      <w:sz w:val="28"/>
                    </w:rPr>
                    <w:t>¥700</w:t>
                  </w:r>
                  <w:r>
                    <w:br/>
                  </w:r>
                  <w:r>
                    <w:rPr>
                      <w:rFonts w:cs="Calibri"/>
                      <w:sz w:val="28"/>
                    </w:rPr>
                    <w:t>¥5000</w:t>
                  </w:r>
                </w:p>
              </w:tc>
              <w:tc>
                <w:tcPr>
                  <w:tcW w:w="1196" w:type="dxa"/>
                  <w:tcBorders>
                    <w:top w:val="none" w:sz="6" w:space="0" w:color="auto"/>
                    <w:left w:val="none" w:sz="6" w:space="0" w:color="auto"/>
                    <w:bottom w:val="none" w:sz="6" w:space="0" w:color="auto"/>
                    <w:right w:val="none" w:sz="6" w:space="0" w:color="auto"/>
                  </w:tcBorders>
                  <w:vAlign w:val="center"/>
                </w:tcPr>
                <w:p w:rsidR="005C01FD" w:rsidRDefault="005C01FD" w:rsidP="004669CD">
                  <w:pPr>
                    <w:spacing w:beforeAutospacing="1" w:afterAutospacing="1"/>
                    <w:jc w:val="right"/>
                    <w:rPr>
                      <w:rFonts w:cs="Calibri"/>
                      <w:b/>
                      <w:bCs/>
                      <w:sz w:val="28"/>
                    </w:rPr>
                  </w:pPr>
                </w:p>
              </w:tc>
            </w:tr>
          </w:tbl>
          <w:p w:rsidR="005C01FD" w:rsidRDefault="005C01FD" w:rsidP="004669CD"/>
        </w:tc>
      </w:tr>
    </w:tbl>
    <w:tbl>
      <w:tblPr>
        <w:tblW w:w="9975" w:type="dxa"/>
        <w:jc w:val="center"/>
        <w:tblBorders>
          <w:insideH w:val="nil"/>
          <w:insideV w:val="nil"/>
        </w:tblBorders>
        <w:tblCellMar>
          <w:top w:w="56" w:type="dxa"/>
          <w:left w:w="56" w:type="dxa"/>
          <w:bottom w:w="56" w:type="dxa"/>
          <w:right w:w="56" w:type="dxa"/>
        </w:tblCellMar>
        <w:tblLook w:val="04A0" w:firstRow="1" w:lastRow="0" w:firstColumn="1" w:lastColumn="0" w:noHBand="0" w:noVBand="1"/>
      </w:tblPr>
      <w:tblGrid>
        <w:gridCol w:w="8751"/>
        <w:gridCol w:w="1224"/>
      </w:tblGrid>
      <w:tr w:rsidR="005C01FD" w:rsidTr="004669CD">
        <w:trPr>
          <w:jc w:val="center"/>
        </w:trPr>
        <w:tc>
          <w:tcPr>
            <w:tcW w:w="8685" w:type="dxa"/>
            <w:tcBorders>
              <w:top w:val="none" w:sz="6" w:space="0" w:color="auto"/>
              <w:left w:val="single" w:sz="6" w:space="0" w:color="auto"/>
              <w:bottom w:val="single" w:sz="6" w:space="0" w:color="auto"/>
              <w:right w:val="none" w:sz="6" w:space="0" w:color="auto"/>
            </w:tcBorders>
            <w:vAlign w:val="center"/>
          </w:tcPr>
          <w:p w:rsidR="005C01FD" w:rsidRDefault="005C01FD" w:rsidP="004669CD">
            <w:pPr>
              <w:spacing w:beforeAutospacing="1" w:afterAutospacing="1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Total Cost</w:t>
            </w:r>
          </w:p>
        </w:tc>
        <w:tc>
          <w:tcPr>
            <w:tcW w:w="1215" w:type="dxa"/>
            <w:tcBorders>
              <w:top w:val="non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01FD" w:rsidRDefault="005C01FD" w:rsidP="004669CD">
            <w:pPr>
              <w:spacing w:beforeAutospacing="1" w:afterAutospacing="1"/>
              <w:jc w:val="right"/>
              <w:rPr>
                <w:b/>
                <w:bCs/>
              </w:rPr>
            </w:pPr>
            <w:r>
              <w:rPr>
                <w:b/>
                <w:bCs/>
                <w:sz w:val="18"/>
              </w:rPr>
              <w:t>$32,650</w:t>
            </w:r>
          </w:p>
        </w:tc>
      </w:tr>
    </w:tbl>
    <w:p w:rsidR="005C01FD" w:rsidRDefault="005C01FD" w:rsidP="005C01FD">
      <w:pPr>
        <w:autoSpaceDE w:val="0"/>
        <w:autoSpaceDN w:val="0"/>
        <w:adjustRightInd w:val="0"/>
        <w:jc w:val="both"/>
        <w:rPr>
          <w:rFonts w:cs="Helvetica"/>
          <w:color w:val="333333"/>
          <w:sz w:val="18"/>
          <w:szCs w:val="18"/>
        </w:rPr>
      </w:pPr>
    </w:p>
    <w:p w:rsidR="000240AD" w:rsidRDefault="005C01FD" w:rsidP="005C01FD">
      <w:r>
        <w:rPr>
          <w:rFonts w:cs="Calibri"/>
          <w:b/>
          <w:szCs w:val="24"/>
        </w:rPr>
        <w:t>*Additional Sample Disposition fees may apply, as s</w:t>
      </w:r>
    </w:p>
    <w:sectPr w:rsidR="0002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7.5pt;height:8.25pt" o:bullet="t">
        <v:imagedata r:id="rId1" o:title=""/>
      </v:shape>
    </w:pict>
  </w:numPicBullet>
  <w:abstractNum w:abstractNumId="0">
    <w:nsid w:val="1D17CE4A"/>
    <w:multiLevelType w:val="multilevel"/>
    <w:tmpl w:val="A374129C"/>
    <w:lvl w:ilvl="0">
      <w:start w:val="1"/>
      <w:numFmt w:val="bullet"/>
      <w:pStyle w:val="Heading1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FD"/>
    <w:rsid w:val="005B1AB7"/>
    <w:rsid w:val="005C01FD"/>
    <w:rsid w:val="00D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9BFBB-B6B2-4660-9D6D-71F548F6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01FD"/>
    <w:pPr>
      <w:spacing w:after="0" w:line="240" w:lineRule="auto"/>
    </w:pPr>
    <w:rPr>
      <w:rFonts w:ascii="Calibri" w:eastAsia="Calibri" w:hAnsi="Calibri" w:cs="Times New Roman"/>
      <w:sz w:val="24"/>
      <w:lang w:eastAsia="en-US"/>
    </w:rPr>
  </w:style>
  <w:style w:type="paragraph" w:styleId="Heading1">
    <w:name w:val="heading 1"/>
    <w:basedOn w:val="Normal"/>
    <w:link w:val="Heading1Char"/>
    <w:qFormat/>
    <w:rsid w:val="005C01FD"/>
    <w:pPr>
      <w:keepNext/>
      <w:numPr>
        <w:numId w:val="1"/>
      </w:numPr>
      <w:autoSpaceDE w:val="0"/>
      <w:autoSpaceDN w:val="0"/>
      <w:adjustRightInd w:val="0"/>
      <w:spacing w:before="240" w:after="60"/>
      <w:jc w:val="both"/>
      <w:outlineLvl w:val="0"/>
    </w:pPr>
    <w:rPr>
      <w:rFonts w:cs="Arial"/>
      <w:b/>
      <w:color w:val="E4672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01FD"/>
    <w:rPr>
      <w:rFonts w:ascii="Calibri" w:eastAsia="Calibri" w:hAnsi="Calibri" w:cs="Arial"/>
      <w:b/>
      <w:color w:val="E4672F"/>
      <w:sz w:val="28"/>
      <w:szCs w:val="28"/>
      <w:lang w:eastAsia="en-US"/>
    </w:rPr>
  </w:style>
  <w:style w:type="table" w:styleId="TableGrid">
    <w:name w:val="Table Grid"/>
    <w:basedOn w:val="TableNormal"/>
    <w:rsid w:val="005C01F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nseReference1">
    <w:name w:val="Intense Reference1"/>
    <w:basedOn w:val="DefaultParagraphFont"/>
    <w:rsid w:val="005C01FD"/>
    <w:rPr>
      <w:b/>
      <w:bCs/>
      <w:color w:val="0069A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Hongkun Liang</dc:creator>
  <cp:keywords/>
  <dc:description/>
  <cp:lastModifiedBy>Hongkun Liang</cp:lastModifiedBy>
  <cp:revision>1</cp:revision>
  <dcterms:created xsi:type="dcterms:W3CDTF">2018-07-31T15:00:00Z</dcterms:created>
  <dcterms:modified xsi:type="dcterms:W3CDTF">2018-07-31T15:02:00Z</dcterms:modified>
</cp:coreProperties>
</file>