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Juiced</w:t>
            </w:r>
            <w:r>
              <w:rPr>
                <w:rFonts w:asciiTheme="minorHAnsi" w:hAnsiTheme="minorHAnsi"/>
              </w:rPr>
              <w:t xml:space="preserve"> - Test Project Juiced</w:t>
            </w:r>
          </w:p>
          <w:p>
            <w:pPr>
              <w:spacing/>
              <w:rPr>
                <w:rFonts w:asciiTheme="minorHAnsi" w:hAnsiTheme="minorHAnsi"/>
              </w:rPr>
            </w:pP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,  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Review Meeting testing this out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Sample Task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0</w:t>
            </w:r>
          </w:p>
        </w:tc>
      </w:tr>
    </w:tbl>
    <w:p w14:paraId="36A6B13C">
      <w:pPr>
        <w:spacing/>
        <w:rPr>
          <w:rFonts w:ascii="Calibri" w:hAnsi="Calibri" w:cs="Arial"/>
          <w:sz w:val="22"/>
          <w:szCs w:val="22"/>
        </w:rPr>
      </w:pPr>
    </w:p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10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06-06-2025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8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