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06eda71b_54e7_"/>
            <w:r>
              <w:rPr/>
              <w:fldChar w:fldCharType="begin">
                <w:ffData>
                  <w:name w:val="Check_06eda71b_54e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$3,190.00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4/7/2024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10:51:39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02:22:44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Sunday, 07 April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1006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4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