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QuickBase in a nutshell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1b0cd029_b5be_"/>
            <w:r>
              <w:rPr/>
              <w:fldChar w:fldCharType="begin">
                <w:ffData>
                  <w:name w:val="Check_1b0cd029_b5b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$1,000.00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$1,000.00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$1,000.00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$1,000.00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Thousand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19 March 2016 08:19:09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21 March 2016 00:30:20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5/20/2014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21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1008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5/31/2014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" name="Picture 4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6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4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