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" w:name="Check_12cd681a_a62d_"/>
            <w:r>
              <w:rPr/>
              <w:fldChar w:fldCharType="begin">
                <w:ffData>
                  <w:name w:val="Check_12cd681a_a62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3" w:name="Check_630d8a27_aa0f_"/>
            <w:r>
              <w:rPr/>
              <w:fldChar w:fldCharType="begin">
                <w:ffData>
                  <w:name w:val="Check_630d8a27_aa0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14 August 2015 03:05:02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Tuesday, 18 August 2015 13:37:13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Tuesday, 18 August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6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7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